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2FDEF" w14:textId="77777777" w:rsidR="00861F1B" w:rsidRDefault="00861F1B" w:rsidP="00C22F6C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3A9C450A" w:rsidR="00861F1B" w:rsidRDefault="00861F1B" w:rsidP="00C22F6C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642935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>.</w:t>
      </w:r>
      <w:r w:rsidR="00F70D86">
        <w:rPr>
          <w:b/>
          <w:sz w:val="20"/>
          <w:szCs w:val="20"/>
        </w:rPr>
        <w:t>0</w:t>
      </w:r>
      <w:r w:rsidR="00AA1A99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.202</w:t>
      </w:r>
      <w:r w:rsidR="00C74164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r.</w:t>
      </w:r>
    </w:p>
    <w:p w14:paraId="6E64968D" w14:textId="77777777" w:rsidR="00861F1B" w:rsidRDefault="00861F1B" w:rsidP="00C22F6C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06462DD1" w14:textId="77777777" w:rsidR="00076F65" w:rsidRDefault="00076F65" w:rsidP="00C22F6C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Nieznaczny spadek obrotów w faktoringu</w:t>
      </w:r>
    </w:p>
    <w:p w14:paraId="2A2E3F5C" w14:textId="054A164D" w:rsidR="00F70D86" w:rsidRPr="00076F65" w:rsidRDefault="00076F65" w:rsidP="00C22F6C">
      <w:pPr>
        <w:spacing w:before="100" w:beforeAutospacing="1" w:after="100" w:afterAutospacing="1"/>
        <w:contextualSpacing/>
        <w:jc w:val="center"/>
        <w:rPr>
          <w:rFonts w:cs="Calibri"/>
          <w:b/>
          <w:bCs/>
          <w:i/>
          <w:iCs/>
          <w:sz w:val="28"/>
          <w:szCs w:val="28"/>
        </w:rPr>
      </w:pPr>
      <w:r w:rsidRPr="00076F65">
        <w:rPr>
          <w:rFonts w:cs="Calibri"/>
          <w:b/>
          <w:bCs/>
          <w:i/>
          <w:iCs/>
          <w:sz w:val="28"/>
          <w:szCs w:val="28"/>
        </w:rPr>
        <w:t>Perspektywa wzrostów już w drugim kwartale</w:t>
      </w:r>
    </w:p>
    <w:p w14:paraId="1D75F036" w14:textId="77777777" w:rsidR="00174F25" w:rsidRDefault="00174F25" w:rsidP="00C22F6C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</w:p>
    <w:p w14:paraId="4D94C1DA" w14:textId="01CD1274" w:rsidR="00174F25" w:rsidRDefault="00174F25" w:rsidP="00174F25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 w:rsidRPr="00174F25">
        <w:rPr>
          <w:rFonts w:cs="Calibri"/>
          <w:b/>
          <w:bCs/>
          <w:sz w:val="24"/>
          <w:szCs w:val="24"/>
        </w:rPr>
        <w:t>Pierwszy kwartał 2024 roku na rynku faktoringu przyniósł nieznaczny spadek obrotów w relacji do analogicznego okresu rok temu. Firmy zrzeszone w Polskim Związku Faktorów w trakcie pierwszych trzech miesięcy wykupiły wierzytelności na łączną kwotę 111,9 mld zł. To o 1,7% mniej niż przed rokiem, kiedy zanotowały obroty o wartości 113,8 mld zł.</w:t>
      </w:r>
    </w:p>
    <w:p w14:paraId="25DE4A6B" w14:textId="77777777" w:rsidR="004934AD" w:rsidRDefault="004934AD" w:rsidP="00174F25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4A65426C" w14:textId="01CC123E" w:rsidR="004934AD" w:rsidRDefault="004934AD" w:rsidP="00174F25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4934AD">
        <w:rPr>
          <w:rFonts w:cs="Calibri"/>
          <w:sz w:val="24"/>
          <w:szCs w:val="24"/>
        </w:rPr>
        <w:t xml:space="preserve">Jak wynika z raportu Polskiego Związku Faktorów, łączna </w:t>
      </w:r>
      <w:r w:rsidR="0057618C">
        <w:rPr>
          <w:rFonts w:cs="Calibri"/>
          <w:sz w:val="24"/>
          <w:szCs w:val="24"/>
        </w:rPr>
        <w:t>wartość</w:t>
      </w:r>
      <w:r w:rsidRPr="004934AD">
        <w:rPr>
          <w:rFonts w:cs="Calibri"/>
          <w:sz w:val="24"/>
          <w:szCs w:val="24"/>
        </w:rPr>
        <w:t xml:space="preserve"> wypłaconych zaliczek wyniosła 49,4 mld zł i była o 7% wyższa niż w 2023 roku. Przedsiębiorstwa zrzeszone w PZF obsłużyły 24,8 tys. firm – o 10,5% więcej niż rok temu, </w:t>
      </w:r>
      <w:r w:rsidR="0057618C">
        <w:rPr>
          <w:rFonts w:cs="Calibri"/>
          <w:sz w:val="24"/>
          <w:szCs w:val="24"/>
        </w:rPr>
        <w:t>przedstawiając</w:t>
      </w:r>
      <w:r w:rsidRPr="004934AD">
        <w:rPr>
          <w:rFonts w:cs="Calibri"/>
          <w:sz w:val="24"/>
          <w:szCs w:val="24"/>
        </w:rPr>
        <w:t xml:space="preserve"> do wykupu 7 mln faktur – o 10% więcej niż przed rokiem.</w:t>
      </w:r>
    </w:p>
    <w:p w14:paraId="47CA44CB" w14:textId="77777777" w:rsidR="004934AD" w:rsidRDefault="004934AD" w:rsidP="00174F25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5350AA58" w14:textId="3328DD5F" w:rsidR="004934AD" w:rsidRDefault="004934AD" w:rsidP="00174F25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4934AD">
        <w:rPr>
          <w:rFonts w:cs="Calibri"/>
          <w:sz w:val="24"/>
          <w:szCs w:val="24"/>
        </w:rPr>
        <w:t>Polski Związek Faktorów (PZF) skupia przeważającą część podmiotów świadczących usługi faktoringowe.</w:t>
      </w:r>
      <w:r w:rsidR="0057618C">
        <w:rPr>
          <w:rFonts w:cs="Calibri"/>
          <w:sz w:val="24"/>
          <w:szCs w:val="24"/>
        </w:rPr>
        <w:t xml:space="preserve"> </w:t>
      </w:r>
      <w:r w:rsidRPr="004934AD">
        <w:rPr>
          <w:rFonts w:cs="Calibri"/>
          <w:sz w:val="24"/>
          <w:szCs w:val="24"/>
        </w:rPr>
        <w:t>Obecnie zrzesza 24 członków: pięć banków komercyjnych i 19 wyspecjalizowanych firm udzielających finansowania w ramach umów faktoringu.</w:t>
      </w:r>
    </w:p>
    <w:p w14:paraId="5656FCED" w14:textId="77777777" w:rsidR="004934AD" w:rsidRDefault="004934AD" w:rsidP="00174F25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327D901E" w14:textId="14B7D9DE" w:rsidR="004934AD" w:rsidRDefault="004934AD" w:rsidP="00174F25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 w:rsidRPr="004934AD">
        <w:rPr>
          <w:rFonts w:cs="Calibri"/>
          <w:sz w:val="24"/>
          <w:szCs w:val="24"/>
        </w:rPr>
        <w:t xml:space="preserve">Na wyniki badania największy wpływ wywiera spowolnienie gospodarcze, które jest ciągle widoczne. Malaje również siła nabywcza konsumentów, a stopy procentowe utrzymują się na wysokich poziomach już od wielu miesięcy. Skala finansowania faktoringu została również wstrzymana ze względu na wymagającą sytuację gospodarczą kluczowych partnerów z perspektywy naszego kraju, jak Niemcy, Francja czy Wielka Brytania. Wiąże się to ze spadkiem eksportu towarów do wspomnianych krajów. – </w:t>
      </w:r>
      <w:r w:rsidRPr="004934AD">
        <w:rPr>
          <w:rFonts w:cs="Calibri"/>
          <w:i/>
          <w:iCs/>
          <w:sz w:val="24"/>
          <w:szCs w:val="24"/>
        </w:rPr>
        <w:t>Spadek obrotów wydaje się być niewielki i wierzę w to, że się nie powiększy, ponieważ krajowi faktorzy wykazują się dużą zdolnością do sprawnego reagowania na negatywne dla branży zjawiska. Potrafimy szybko dostosować się do potrzeb klientów, zaoferować nowe rozwiązania produktowe i techniczne, a także zwiększyć elastyczność w ocenie transakcji faktoringowej. Widać to choćby po rosnącej liczbie przedsiębiorców sięgających po ten prosty i efektywny rodzaj finansowania należności</w:t>
      </w:r>
      <w:r w:rsidRPr="004934AD">
        <w:rPr>
          <w:rFonts w:cs="Calibri"/>
          <w:sz w:val="24"/>
          <w:szCs w:val="24"/>
        </w:rPr>
        <w:t xml:space="preserve"> – mówi </w:t>
      </w:r>
      <w:r w:rsidRPr="004934AD">
        <w:rPr>
          <w:rFonts w:cs="Calibri"/>
          <w:b/>
          <w:bCs/>
          <w:sz w:val="24"/>
          <w:szCs w:val="24"/>
        </w:rPr>
        <w:t>Konrad Klimek, przewodniczący komitetu wykonawczego PZF.</w:t>
      </w:r>
    </w:p>
    <w:p w14:paraId="25178ECC" w14:textId="77777777" w:rsidR="00076F65" w:rsidRDefault="00076F65" w:rsidP="00174F25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5D8A42D9" w14:textId="16126009" w:rsidR="00076F65" w:rsidRDefault="00076F65" w:rsidP="00174F25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 w:rsidRPr="00076F65">
        <w:rPr>
          <w:rFonts w:cs="Calibri"/>
          <w:i/>
          <w:iCs/>
          <w:sz w:val="24"/>
          <w:szCs w:val="24"/>
        </w:rPr>
        <w:t xml:space="preserve">Na faktoring przeważnie decydują się firmy produkcyjne i dystrybucyjne. </w:t>
      </w:r>
      <w:r w:rsidR="0057618C">
        <w:rPr>
          <w:rFonts w:cs="Calibri"/>
          <w:i/>
          <w:iCs/>
          <w:sz w:val="24"/>
          <w:szCs w:val="24"/>
        </w:rPr>
        <w:t>O</w:t>
      </w:r>
      <w:r w:rsidRPr="00076F65">
        <w:rPr>
          <w:rFonts w:cs="Calibri"/>
          <w:i/>
          <w:iCs/>
          <w:sz w:val="24"/>
          <w:szCs w:val="24"/>
        </w:rPr>
        <w:t xml:space="preserve">śmiu na dziesięciu klientów korzystających z usług faktoringowych wywodzi się z tych dwóch grup podmiotów. Wystawiają one </w:t>
      </w:r>
      <w:r w:rsidR="0057618C">
        <w:rPr>
          <w:rFonts w:cs="Calibri"/>
          <w:i/>
          <w:iCs/>
          <w:sz w:val="24"/>
          <w:szCs w:val="24"/>
        </w:rPr>
        <w:t xml:space="preserve">z reguły </w:t>
      </w:r>
      <w:r w:rsidRPr="00076F65">
        <w:rPr>
          <w:rFonts w:cs="Calibri"/>
          <w:i/>
          <w:iCs/>
          <w:sz w:val="24"/>
          <w:szCs w:val="24"/>
        </w:rPr>
        <w:t xml:space="preserve">faktury na znaczące kwoty oraz z dłuższymi terminami płatności, co sprawia, że środki na ich bieżącą działalność pozostają w „zamrożeniu”. Faktoring </w:t>
      </w:r>
      <w:r w:rsidR="0057618C">
        <w:rPr>
          <w:rFonts w:cs="Calibri"/>
          <w:i/>
          <w:iCs/>
          <w:sz w:val="24"/>
          <w:szCs w:val="24"/>
        </w:rPr>
        <w:t xml:space="preserve">daje im </w:t>
      </w:r>
      <w:r w:rsidRPr="00076F65">
        <w:rPr>
          <w:rFonts w:cs="Calibri"/>
          <w:i/>
          <w:iCs/>
          <w:sz w:val="24"/>
          <w:szCs w:val="24"/>
        </w:rPr>
        <w:t xml:space="preserve">szybki dostęp do gotówki oraz regulowanie bieżących zobowiązań. Dzięki temu mogą bez zakłóceń rozwijać swoją działalność i oferować odbiorcom atrakcyjne warunki zakupu </w:t>
      </w:r>
      <w:r w:rsidRPr="00076F65">
        <w:rPr>
          <w:rFonts w:cs="Calibri"/>
          <w:i/>
          <w:iCs/>
          <w:sz w:val="24"/>
          <w:szCs w:val="24"/>
        </w:rPr>
        <w:lastRenderedPageBreak/>
        <w:t>towarów</w:t>
      </w:r>
      <w:r>
        <w:rPr>
          <w:rFonts w:cs="Calibri"/>
          <w:i/>
          <w:iCs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 xml:space="preserve">dodaje </w:t>
      </w:r>
      <w:r w:rsidRPr="00076F65">
        <w:rPr>
          <w:rFonts w:cs="Calibri"/>
          <w:b/>
          <w:bCs/>
          <w:sz w:val="24"/>
          <w:szCs w:val="24"/>
        </w:rPr>
        <w:t>Katarzyna Chmielecka, koordynatorka ds. marketingu i komunikacji w BNP Paribas Faktoring.</w:t>
      </w:r>
    </w:p>
    <w:p w14:paraId="735515D6" w14:textId="77777777" w:rsidR="00076F65" w:rsidRDefault="00076F65" w:rsidP="00174F25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3070ED2F" w14:textId="59FAFB95" w:rsidR="00076F65" w:rsidRPr="00076F65" w:rsidRDefault="00076F65" w:rsidP="00174F25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076F65">
        <w:rPr>
          <w:rFonts w:cs="Calibri"/>
          <w:sz w:val="24"/>
          <w:szCs w:val="24"/>
        </w:rPr>
        <w:t>Dane wskazują, że stale rośnie zarówno liczba klientów korzystających z faktoringu, jak i liczba faktur, które przedstawiają do finansowania. Spada natomiast ich wartość. Rynek faktoringowy dąży do odbudowania swojej pozycji z pierwszej połowy 2023 roku. Na horyzoncie widnieje perspektywa wzrostów wynikających z wdrożenia innowacyjnych narzędzi produktowych oraz stabilizacji prawnej. Krokiem naprzód może okazać się zaawansowana digitalizacja, która na wielu płaszczyznach będzie wspierać proces przekazywania faktur do sfinansowania</w:t>
      </w:r>
      <w:r w:rsidR="0057618C">
        <w:rPr>
          <w:rFonts w:cs="Calibri"/>
          <w:sz w:val="24"/>
          <w:szCs w:val="24"/>
        </w:rPr>
        <w:t>.</w:t>
      </w:r>
    </w:p>
    <w:p w14:paraId="73FE37B8" w14:textId="77777777" w:rsidR="00EF63CB" w:rsidRPr="00EF63CB" w:rsidRDefault="00EF63CB" w:rsidP="00C22F6C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19C016DC" w14:textId="77777777" w:rsidR="007C430C" w:rsidRPr="007C430C" w:rsidRDefault="007C430C" w:rsidP="00C22F6C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C22F6C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C22F6C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C22F6C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C22F6C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C22F6C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C22F6C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C22F6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C22F6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C22F6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C22F6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C22F6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C22F6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C22F6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A3FE5" w14:textId="77777777" w:rsidR="001E1E8F" w:rsidRDefault="001E1E8F" w:rsidP="007C430C">
      <w:pPr>
        <w:spacing w:after="0" w:line="240" w:lineRule="auto"/>
      </w:pPr>
      <w:r>
        <w:separator/>
      </w:r>
    </w:p>
  </w:endnote>
  <w:endnote w:type="continuationSeparator" w:id="0">
    <w:p w14:paraId="7F8C6E8C" w14:textId="77777777" w:rsidR="001E1E8F" w:rsidRDefault="001E1E8F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CD8B8" w14:textId="77777777" w:rsidR="001E1E8F" w:rsidRDefault="001E1E8F" w:rsidP="007C430C">
      <w:pPr>
        <w:spacing w:after="0" w:line="240" w:lineRule="auto"/>
      </w:pPr>
      <w:r>
        <w:separator/>
      </w:r>
    </w:p>
  </w:footnote>
  <w:footnote w:type="continuationSeparator" w:id="0">
    <w:p w14:paraId="31BD43E8" w14:textId="77777777" w:rsidR="001E1E8F" w:rsidRDefault="001E1E8F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51D9D"/>
    <w:rsid w:val="0005686E"/>
    <w:rsid w:val="00060453"/>
    <w:rsid w:val="000620A4"/>
    <w:rsid w:val="00062187"/>
    <w:rsid w:val="00076F65"/>
    <w:rsid w:val="0009386E"/>
    <w:rsid w:val="000B3BB9"/>
    <w:rsid w:val="000E0E4F"/>
    <w:rsid w:val="000F2ECA"/>
    <w:rsid w:val="0010191C"/>
    <w:rsid w:val="001021FC"/>
    <w:rsid w:val="00111653"/>
    <w:rsid w:val="001225D5"/>
    <w:rsid w:val="00124090"/>
    <w:rsid w:val="00144540"/>
    <w:rsid w:val="00157CAF"/>
    <w:rsid w:val="00161687"/>
    <w:rsid w:val="001662C7"/>
    <w:rsid w:val="00174F25"/>
    <w:rsid w:val="0018583B"/>
    <w:rsid w:val="001D5A11"/>
    <w:rsid w:val="001D6E61"/>
    <w:rsid w:val="001D716F"/>
    <w:rsid w:val="001E1E8F"/>
    <w:rsid w:val="001E26C3"/>
    <w:rsid w:val="001F53FA"/>
    <w:rsid w:val="00205E99"/>
    <w:rsid w:val="002070FE"/>
    <w:rsid w:val="00216D49"/>
    <w:rsid w:val="0022109C"/>
    <w:rsid w:val="00222A28"/>
    <w:rsid w:val="002231DA"/>
    <w:rsid w:val="00224ACA"/>
    <w:rsid w:val="00232AE6"/>
    <w:rsid w:val="00251F5E"/>
    <w:rsid w:val="00255DE7"/>
    <w:rsid w:val="00285523"/>
    <w:rsid w:val="002923D2"/>
    <w:rsid w:val="0029300E"/>
    <w:rsid w:val="002938B1"/>
    <w:rsid w:val="002A3F41"/>
    <w:rsid w:val="002B02AD"/>
    <w:rsid w:val="002B10F8"/>
    <w:rsid w:val="002E0EBD"/>
    <w:rsid w:val="00315304"/>
    <w:rsid w:val="003201AB"/>
    <w:rsid w:val="003243AE"/>
    <w:rsid w:val="00327202"/>
    <w:rsid w:val="00346382"/>
    <w:rsid w:val="003469BC"/>
    <w:rsid w:val="00352BEF"/>
    <w:rsid w:val="00377188"/>
    <w:rsid w:val="003920F7"/>
    <w:rsid w:val="003A1D08"/>
    <w:rsid w:val="003B2534"/>
    <w:rsid w:val="003C101F"/>
    <w:rsid w:val="003D667F"/>
    <w:rsid w:val="003F5F9D"/>
    <w:rsid w:val="00400E57"/>
    <w:rsid w:val="00405CF8"/>
    <w:rsid w:val="00412CAA"/>
    <w:rsid w:val="0041479C"/>
    <w:rsid w:val="004232A8"/>
    <w:rsid w:val="00432FAD"/>
    <w:rsid w:val="00440995"/>
    <w:rsid w:val="00446306"/>
    <w:rsid w:val="00450588"/>
    <w:rsid w:val="00492869"/>
    <w:rsid w:val="004934AD"/>
    <w:rsid w:val="004B4320"/>
    <w:rsid w:val="004C3388"/>
    <w:rsid w:val="004D4907"/>
    <w:rsid w:val="004D5D86"/>
    <w:rsid w:val="004E4F10"/>
    <w:rsid w:val="004F6904"/>
    <w:rsid w:val="00511FA8"/>
    <w:rsid w:val="00512E82"/>
    <w:rsid w:val="00533A04"/>
    <w:rsid w:val="00534301"/>
    <w:rsid w:val="005527CB"/>
    <w:rsid w:val="00560E4B"/>
    <w:rsid w:val="005618DA"/>
    <w:rsid w:val="0056390B"/>
    <w:rsid w:val="0057618C"/>
    <w:rsid w:val="00592ED6"/>
    <w:rsid w:val="005E48E2"/>
    <w:rsid w:val="005F0D14"/>
    <w:rsid w:val="005F0F18"/>
    <w:rsid w:val="005F50C8"/>
    <w:rsid w:val="00634120"/>
    <w:rsid w:val="00642935"/>
    <w:rsid w:val="0065684D"/>
    <w:rsid w:val="00656FE3"/>
    <w:rsid w:val="006628E3"/>
    <w:rsid w:val="0066613A"/>
    <w:rsid w:val="00694098"/>
    <w:rsid w:val="0069585A"/>
    <w:rsid w:val="006C491D"/>
    <w:rsid w:val="006D0730"/>
    <w:rsid w:val="006D4EED"/>
    <w:rsid w:val="00700A11"/>
    <w:rsid w:val="00730A60"/>
    <w:rsid w:val="007405E4"/>
    <w:rsid w:val="00747020"/>
    <w:rsid w:val="00764C2E"/>
    <w:rsid w:val="00764F96"/>
    <w:rsid w:val="007661D7"/>
    <w:rsid w:val="00772BEE"/>
    <w:rsid w:val="0078721D"/>
    <w:rsid w:val="00787BCD"/>
    <w:rsid w:val="007A5718"/>
    <w:rsid w:val="007A682E"/>
    <w:rsid w:val="007A7ECA"/>
    <w:rsid w:val="007C430C"/>
    <w:rsid w:val="007C7355"/>
    <w:rsid w:val="007E1739"/>
    <w:rsid w:val="007F2F80"/>
    <w:rsid w:val="008038DC"/>
    <w:rsid w:val="0081421D"/>
    <w:rsid w:val="008457E7"/>
    <w:rsid w:val="00861857"/>
    <w:rsid w:val="00861F1B"/>
    <w:rsid w:val="00882B84"/>
    <w:rsid w:val="00890330"/>
    <w:rsid w:val="00891B1D"/>
    <w:rsid w:val="00891D8C"/>
    <w:rsid w:val="008A67AB"/>
    <w:rsid w:val="008C2912"/>
    <w:rsid w:val="008D1F29"/>
    <w:rsid w:val="008D6E58"/>
    <w:rsid w:val="008D73D6"/>
    <w:rsid w:val="008F0803"/>
    <w:rsid w:val="00903301"/>
    <w:rsid w:val="0090387E"/>
    <w:rsid w:val="00915A30"/>
    <w:rsid w:val="00925495"/>
    <w:rsid w:val="009403EF"/>
    <w:rsid w:val="00946C7B"/>
    <w:rsid w:val="00993314"/>
    <w:rsid w:val="00993847"/>
    <w:rsid w:val="00996940"/>
    <w:rsid w:val="009B1B51"/>
    <w:rsid w:val="009B598F"/>
    <w:rsid w:val="00A07567"/>
    <w:rsid w:val="00A106E1"/>
    <w:rsid w:val="00A14D63"/>
    <w:rsid w:val="00A15E5D"/>
    <w:rsid w:val="00A63E6A"/>
    <w:rsid w:val="00A70B6B"/>
    <w:rsid w:val="00A7174B"/>
    <w:rsid w:val="00A745DF"/>
    <w:rsid w:val="00A86538"/>
    <w:rsid w:val="00A87C9D"/>
    <w:rsid w:val="00AA1541"/>
    <w:rsid w:val="00AA1A99"/>
    <w:rsid w:val="00AA5132"/>
    <w:rsid w:val="00AC1266"/>
    <w:rsid w:val="00AF0D08"/>
    <w:rsid w:val="00AF2ECD"/>
    <w:rsid w:val="00AF60B7"/>
    <w:rsid w:val="00B065D2"/>
    <w:rsid w:val="00B12F51"/>
    <w:rsid w:val="00B360C2"/>
    <w:rsid w:val="00B43AB5"/>
    <w:rsid w:val="00B5577E"/>
    <w:rsid w:val="00B62536"/>
    <w:rsid w:val="00BB3ED3"/>
    <w:rsid w:val="00BC4CCD"/>
    <w:rsid w:val="00BE6D57"/>
    <w:rsid w:val="00BF3867"/>
    <w:rsid w:val="00BF6AD9"/>
    <w:rsid w:val="00BF7B67"/>
    <w:rsid w:val="00C07B57"/>
    <w:rsid w:val="00C22F6C"/>
    <w:rsid w:val="00C267ED"/>
    <w:rsid w:val="00C37568"/>
    <w:rsid w:val="00C56CCC"/>
    <w:rsid w:val="00C74164"/>
    <w:rsid w:val="00C82978"/>
    <w:rsid w:val="00C82989"/>
    <w:rsid w:val="00CB6DEF"/>
    <w:rsid w:val="00CC71D5"/>
    <w:rsid w:val="00CE5869"/>
    <w:rsid w:val="00CE7194"/>
    <w:rsid w:val="00D016B7"/>
    <w:rsid w:val="00D20EC9"/>
    <w:rsid w:val="00D33D79"/>
    <w:rsid w:val="00D34A7B"/>
    <w:rsid w:val="00D74176"/>
    <w:rsid w:val="00D77924"/>
    <w:rsid w:val="00D8426B"/>
    <w:rsid w:val="00D93D7A"/>
    <w:rsid w:val="00D93F67"/>
    <w:rsid w:val="00DC4F98"/>
    <w:rsid w:val="00DE0E30"/>
    <w:rsid w:val="00DF7DE1"/>
    <w:rsid w:val="00E01684"/>
    <w:rsid w:val="00E30266"/>
    <w:rsid w:val="00E74EC5"/>
    <w:rsid w:val="00E765F7"/>
    <w:rsid w:val="00E77858"/>
    <w:rsid w:val="00E84B44"/>
    <w:rsid w:val="00E8554B"/>
    <w:rsid w:val="00E94FFD"/>
    <w:rsid w:val="00EB035D"/>
    <w:rsid w:val="00EB19C9"/>
    <w:rsid w:val="00EC4214"/>
    <w:rsid w:val="00EF27D2"/>
    <w:rsid w:val="00EF538D"/>
    <w:rsid w:val="00EF63CB"/>
    <w:rsid w:val="00F0114B"/>
    <w:rsid w:val="00F128FE"/>
    <w:rsid w:val="00F30199"/>
    <w:rsid w:val="00F30D5E"/>
    <w:rsid w:val="00F509B5"/>
    <w:rsid w:val="00F659E7"/>
    <w:rsid w:val="00F70D86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  <w:style w:type="character" w:styleId="Pogrubienie">
    <w:name w:val="Strong"/>
    <w:basedOn w:val="Domylnaczcionkaakapitu"/>
    <w:uiPriority w:val="22"/>
    <w:qFormat/>
    <w:rsid w:val="00E74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4583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9</cp:revision>
  <dcterms:created xsi:type="dcterms:W3CDTF">2024-04-23T15:54:00Z</dcterms:created>
  <dcterms:modified xsi:type="dcterms:W3CDTF">2024-04-24T07:49:00Z</dcterms:modified>
</cp:coreProperties>
</file>